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0BCD0" w14:textId="3A7BF1FC" w:rsidR="001246AF" w:rsidRDefault="6730A098" w:rsidP="00634D30">
      <w:pPr>
        <w:pStyle w:val="Titre1"/>
        <w:jc w:val="center"/>
        <w:rPr>
          <w:color w:val="548DD4" w:themeColor="text2" w:themeTint="99"/>
          <w:sz w:val="24"/>
          <w:szCs w:val="24"/>
        </w:rPr>
      </w:pPr>
      <w:r w:rsidRPr="6730A098">
        <w:rPr>
          <w:color w:val="548DD4" w:themeColor="text2" w:themeTint="99"/>
          <w:sz w:val="24"/>
          <w:szCs w:val="24"/>
        </w:rPr>
        <w:t>FICHE DE RECUEIL DES FAITS MARQUANT</w:t>
      </w:r>
      <w:bookmarkStart w:id="0" w:name="_GoBack"/>
      <w:bookmarkEnd w:id="0"/>
      <w:r w:rsidRPr="6730A098">
        <w:rPr>
          <w:color w:val="548DD4" w:themeColor="text2" w:themeTint="99"/>
          <w:sz w:val="24"/>
          <w:szCs w:val="24"/>
        </w:rPr>
        <w:t>S</w:t>
      </w:r>
    </w:p>
    <w:p w14:paraId="3FFF243E" w14:textId="77777777" w:rsidR="00AB0CED" w:rsidRPr="00AB0CED" w:rsidRDefault="00AB0CED" w:rsidP="00AB0CE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980"/>
      </w:tblGrid>
      <w:tr w:rsidR="00994958" w14:paraId="7BBE6629" w14:textId="3B8C8F84" w:rsidTr="0081594D">
        <w:tc>
          <w:tcPr>
            <w:tcW w:w="4530" w:type="dxa"/>
          </w:tcPr>
          <w:p w14:paraId="7A647A8D" w14:textId="5DE2CBF3" w:rsidR="00994958" w:rsidRDefault="000B0AFF" w:rsidP="00AB0CED">
            <w:pPr>
              <w:jc w:val="center"/>
              <w:rPr>
                <w:rFonts w:asciiTheme="majorHAnsi" w:hAnsiTheme="majorHAnsi" w:cstheme="majorHAnsi"/>
                <w:b/>
                <w:bCs/>
                <w:sz w:val="20"/>
                <w:szCs w:val="20"/>
              </w:rPr>
            </w:pPr>
            <w:r>
              <w:rPr>
                <w:rFonts w:asciiTheme="majorHAnsi" w:hAnsiTheme="majorHAnsi" w:cstheme="majorHAnsi"/>
                <w:b/>
                <w:bCs/>
                <w:noProof/>
                <w:sz w:val="20"/>
                <w:szCs w:val="20"/>
              </w:rPr>
              <w:drawing>
                <wp:inline distT="0" distB="0" distL="0" distR="0" wp14:anchorId="60B723A2" wp14:editId="6867A16F">
                  <wp:extent cx="2516745" cy="2552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2022_BLEMERCIER.png"/>
                          <pic:cNvPicPr/>
                        </pic:nvPicPr>
                        <pic:blipFill>
                          <a:blip r:embed="rId11">
                            <a:extLst>
                              <a:ext uri="{28A0092B-C50C-407E-A947-70E740481C1C}">
                                <a14:useLocalDpi xmlns:a14="http://schemas.microsoft.com/office/drawing/2010/main" val="0"/>
                              </a:ext>
                            </a:extLst>
                          </a:blip>
                          <a:stretch>
                            <a:fillRect/>
                          </a:stretch>
                        </pic:blipFill>
                        <pic:spPr>
                          <a:xfrm>
                            <a:off x="0" y="0"/>
                            <a:ext cx="2532891" cy="2569076"/>
                          </a:xfrm>
                          <a:prstGeom prst="rect">
                            <a:avLst/>
                          </a:prstGeom>
                        </pic:spPr>
                      </pic:pic>
                    </a:graphicData>
                  </a:graphic>
                </wp:inline>
              </w:drawing>
            </w:r>
          </w:p>
        </w:tc>
        <w:tc>
          <w:tcPr>
            <w:tcW w:w="4530" w:type="dxa"/>
            <w:vAlign w:val="center"/>
          </w:tcPr>
          <w:p w14:paraId="6B99C674" w14:textId="77777777" w:rsidR="00AB0CED" w:rsidRPr="00AB0CED" w:rsidRDefault="00AB0CED" w:rsidP="00452F3E">
            <w:pPr>
              <w:pStyle w:val="Paragraphedeliste"/>
              <w:numPr>
                <w:ilvl w:val="0"/>
                <w:numId w:val="36"/>
              </w:numPr>
              <w:rPr>
                <w:rFonts w:asciiTheme="majorHAnsi" w:hAnsiTheme="majorHAnsi" w:cstheme="majorBidi"/>
                <w:bCs/>
                <w:sz w:val="20"/>
                <w:szCs w:val="20"/>
              </w:rPr>
            </w:pPr>
            <w:r w:rsidRPr="00AB0CED">
              <w:rPr>
                <w:rFonts w:asciiTheme="majorHAnsi" w:hAnsiTheme="majorHAnsi" w:cstheme="majorBidi"/>
                <w:b/>
                <w:bCs/>
                <w:sz w:val="20"/>
                <w:szCs w:val="20"/>
              </w:rPr>
              <w:t xml:space="preserve">Titre : </w:t>
            </w:r>
            <w:r w:rsidRPr="00AB0CED">
              <w:rPr>
                <w:rFonts w:asciiTheme="majorHAnsi" w:hAnsiTheme="majorHAnsi" w:cstheme="majorBidi"/>
                <w:bCs/>
                <w:sz w:val="20"/>
                <w:szCs w:val="20"/>
              </w:rPr>
              <w:t>Toutes les cartes des sols issues d’approches de modélisation statistique se valent-elles ? Evaluation multi-échelle de cartes des sols numériques globales, nationales et régionales</w:t>
            </w:r>
          </w:p>
          <w:p w14:paraId="055F50B9" w14:textId="7F60AF07" w:rsidR="00AB0CED" w:rsidRPr="00AB0CED" w:rsidRDefault="00AB0CED" w:rsidP="00452F3E">
            <w:pPr>
              <w:pStyle w:val="Paragraphedeliste"/>
              <w:numPr>
                <w:ilvl w:val="0"/>
                <w:numId w:val="36"/>
              </w:numPr>
              <w:rPr>
                <w:rFonts w:asciiTheme="majorHAnsi" w:hAnsiTheme="majorHAnsi" w:cstheme="majorBidi"/>
                <w:b/>
                <w:bCs/>
                <w:sz w:val="20"/>
                <w:szCs w:val="20"/>
              </w:rPr>
            </w:pPr>
            <w:r w:rsidRPr="00AB0CED">
              <w:rPr>
                <w:rFonts w:asciiTheme="majorHAnsi" w:hAnsiTheme="majorHAnsi" w:cstheme="majorBidi"/>
                <w:b/>
                <w:bCs/>
                <w:sz w:val="20"/>
                <w:szCs w:val="20"/>
              </w:rPr>
              <w:t>Catégorie</w:t>
            </w:r>
            <w:r w:rsidRPr="00AB0CED">
              <w:rPr>
                <w:rFonts w:asciiTheme="majorHAnsi" w:hAnsiTheme="majorHAnsi" w:cstheme="majorBidi"/>
                <w:bCs/>
                <w:sz w:val="20"/>
                <w:szCs w:val="20"/>
              </w:rPr>
              <w:t>: publication</w:t>
            </w:r>
            <w:r w:rsidRPr="00AB0CED">
              <w:rPr>
                <w:rFonts w:asciiTheme="majorHAnsi" w:hAnsiTheme="majorHAnsi" w:cstheme="majorBidi"/>
                <w:b/>
                <w:bCs/>
                <w:sz w:val="20"/>
                <w:szCs w:val="20"/>
              </w:rPr>
              <w:t xml:space="preserve"> : </w:t>
            </w:r>
            <w:hyperlink r:id="rId12">
              <w:r w:rsidRPr="00AB0CED">
                <w:rPr>
                  <w:rStyle w:val="Lienhypertexte"/>
                  <w:rFonts w:asciiTheme="majorHAnsi" w:hAnsiTheme="majorHAnsi" w:cstheme="majorBidi"/>
                  <w:b/>
                  <w:bCs/>
                  <w:sz w:val="20"/>
                  <w:szCs w:val="20"/>
                </w:rPr>
                <w:t>https://doi.org/10.1016/j.geoderma.2022.116052</w:t>
              </w:r>
            </w:hyperlink>
          </w:p>
          <w:p w14:paraId="34A870FF" w14:textId="77777777" w:rsidR="00AB0CED" w:rsidRPr="00AB0CED" w:rsidRDefault="00AB0CED" w:rsidP="00452F3E">
            <w:pPr>
              <w:pStyle w:val="Paragraphedeliste"/>
              <w:numPr>
                <w:ilvl w:val="0"/>
                <w:numId w:val="36"/>
              </w:numPr>
              <w:rPr>
                <w:rFonts w:asciiTheme="majorHAnsi" w:hAnsiTheme="majorHAnsi" w:cstheme="majorBidi"/>
                <w:sz w:val="20"/>
                <w:szCs w:val="20"/>
              </w:rPr>
            </w:pPr>
            <w:r w:rsidRPr="00AB0CED">
              <w:rPr>
                <w:rFonts w:asciiTheme="majorHAnsi" w:hAnsiTheme="majorHAnsi" w:cstheme="majorBidi"/>
                <w:b/>
                <w:bCs/>
                <w:sz w:val="20"/>
                <w:szCs w:val="20"/>
              </w:rPr>
              <w:t xml:space="preserve">Mots-clés </w:t>
            </w:r>
            <w:r w:rsidRPr="00AB0CED">
              <w:rPr>
                <w:rFonts w:asciiTheme="majorHAnsi" w:hAnsiTheme="majorHAnsi" w:cstheme="majorBidi"/>
                <w:sz w:val="20"/>
                <w:szCs w:val="20"/>
              </w:rPr>
              <w:t>: Cartographie des Sols par Modélisation Statistique (CSMS), carte pédologique, évaluation</w:t>
            </w:r>
          </w:p>
          <w:p w14:paraId="3D03AB6C" w14:textId="77777777" w:rsidR="00AB0CED" w:rsidRPr="00AB0CED" w:rsidRDefault="00AB0CED" w:rsidP="00452F3E">
            <w:pPr>
              <w:pStyle w:val="Paragraphedeliste"/>
              <w:numPr>
                <w:ilvl w:val="0"/>
                <w:numId w:val="36"/>
              </w:numPr>
              <w:rPr>
                <w:rFonts w:asciiTheme="majorHAnsi" w:hAnsiTheme="majorHAnsi" w:cstheme="majorBidi"/>
                <w:bCs/>
                <w:sz w:val="20"/>
                <w:szCs w:val="20"/>
              </w:rPr>
            </w:pPr>
            <w:r w:rsidRPr="00AB0CED">
              <w:rPr>
                <w:rFonts w:asciiTheme="majorHAnsi" w:hAnsiTheme="majorHAnsi" w:cstheme="majorBidi"/>
                <w:b/>
                <w:bCs/>
                <w:sz w:val="20"/>
                <w:szCs w:val="20"/>
              </w:rPr>
              <w:t xml:space="preserve">Unité : </w:t>
            </w:r>
            <w:r w:rsidRPr="00AB0CED">
              <w:rPr>
                <w:rFonts w:asciiTheme="majorHAnsi" w:hAnsiTheme="majorHAnsi" w:cstheme="majorBidi"/>
                <w:bCs/>
                <w:sz w:val="20"/>
                <w:szCs w:val="20"/>
              </w:rPr>
              <w:t>UMR 1069 SAS - Centre INRAE : Bretagne-Normandie</w:t>
            </w:r>
          </w:p>
          <w:p w14:paraId="50D41E55" w14:textId="77777777" w:rsidR="00AB0CED" w:rsidRPr="00AB0CED" w:rsidRDefault="00AB0CED" w:rsidP="00452F3E">
            <w:pPr>
              <w:pStyle w:val="Paragraphedeliste"/>
              <w:numPr>
                <w:ilvl w:val="0"/>
                <w:numId w:val="36"/>
              </w:numPr>
              <w:rPr>
                <w:rFonts w:asciiTheme="majorHAnsi" w:hAnsiTheme="majorHAnsi" w:cstheme="majorBidi"/>
                <w:b/>
                <w:bCs/>
                <w:sz w:val="20"/>
                <w:szCs w:val="20"/>
              </w:rPr>
            </w:pPr>
            <w:r w:rsidRPr="00AB0CED">
              <w:rPr>
                <w:rFonts w:asciiTheme="majorHAnsi" w:hAnsiTheme="majorHAnsi" w:cstheme="majorBidi"/>
                <w:b/>
                <w:bCs/>
                <w:sz w:val="20"/>
                <w:szCs w:val="20"/>
              </w:rPr>
              <w:t xml:space="preserve">Contact : </w:t>
            </w:r>
            <w:r w:rsidRPr="00AB0CED">
              <w:rPr>
                <w:rFonts w:asciiTheme="majorHAnsi" w:hAnsiTheme="majorHAnsi" w:cstheme="majorBidi"/>
                <w:bCs/>
                <w:sz w:val="20"/>
                <w:szCs w:val="20"/>
              </w:rPr>
              <w:t>Blandine Lemercier (Institut Agro)</w:t>
            </w:r>
          </w:p>
          <w:p w14:paraId="1A6A7C85" w14:textId="77777777" w:rsidR="00994958" w:rsidRDefault="00994958" w:rsidP="00452F3E">
            <w:pPr>
              <w:rPr>
                <w:rFonts w:asciiTheme="majorHAnsi" w:hAnsiTheme="majorHAnsi" w:cstheme="majorHAnsi"/>
                <w:b/>
                <w:bCs/>
                <w:sz w:val="20"/>
                <w:szCs w:val="20"/>
              </w:rPr>
            </w:pPr>
          </w:p>
        </w:tc>
      </w:tr>
    </w:tbl>
    <w:p w14:paraId="6864B507" w14:textId="77777777" w:rsidR="002B00CF" w:rsidRPr="00677561" w:rsidRDefault="002B00CF" w:rsidP="00024AEB">
      <w:pPr>
        <w:rPr>
          <w:rFonts w:asciiTheme="majorHAnsi" w:hAnsiTheme="majorHAnsi" w:cstheme="majorHAnsi"/>
          <w:b/>
          <w:bCs/>
          <w:sz w:val="20"/>
          <w:szCs w:val="20"/>
        </w:rPr>
      </w:pPr>
    </w:p>
    <w:p w14:paraId="50F3B25D" w14:textId="3734C9F6" w:rsidR="00677561" w:rsidRPr="00AB0CED" w:rsidRDefault="00677561" w:rsidP="00EB7590">
      <w:pPr>
        <w:rPr>
          <w:rFonts w:asciiTheme="majorHAnsi" w:hAnsiTheme="majorHAnsi" w:cstheme="majorBidi"/>
          <w:b/>
          <w:bCs/>
          <w:sz w:val="20"/>
          <w:szCs w:val="20"/>
        </w:rPr>
      </w:pPr>
    </w:p>
    <w:p w14:paraId="754AD07D" w14:textId="6F405DB3" w:rsid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b/>
          <w:bCs/>
          <w:sz w:val="20"/>
          <w:szCs w:val="20"/>
        </w:rPr>
        <w:t>Contexte et enjeux</w:t>
      </w:r>
      <w:r w:rsidRPr="6730A098">
        <w:rPr>
          <w:rFonts w:asciiTheme="majorHAnsi" w:hAnsiTheme="majorHAnsi" w:cstheme="majorBidi"/>
          <w:sz w:val="20"/>
          <w:szCs w:val="20"/>
        </w:rPr>
        <w:t xml:space="preserve"> :</w:t>
      </w:r>
    </w:p>
    <w:p w14:paraId="18611BD9" w14:textId="1C6A03BA" w:rsidR="00F96AFF"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La CSMS vise à prédire, en tous points d’un territoire, et de façon reproductible, un type de sol et / ou des propriétés des sols, à partir de modèles calibrés sur des observations et permettent d'estimer les incertitudes de ces prédictions. Ces informations répondent aux spécifications </w:t>
      </w:r>
      <w:r w:rsidRPr="6730A098">
        <w:rPr>
          <w:rFonts w:asciiTheme="majorHAnsi" w:hAnsiTheme="majorHAnsi" w:cstheme="majorBidi"/>
          <w:i/>
          <w:iCs/>
          <w:sz w:val="20"/>
          <w:szCs w:val="20"/>
        </w:rPr>
        <w:t>GlobalSoilMap</w:t>
      </w:r>
      <w:r w:rsidRPr="6730A098">
        <w:rPr>
          <w:rFonts w:asciiTheme="majorHAnsi" w:hAnsiTheme="majorHAnsi" w:cstheme="majorBidi"/>
          <w:sz w:val="20"/>
          <w:szCs w:val="20"/>
        </w:rPr>
        <w:t> : données sous forme matricielle (raster) disponibles pour six couches standards allant de la surface à 2 m de profondeur. Bien qu’ils se multiplient, ces produits restent incertains et il apparaît nécessaire de les évaluer en les comparant à des références ponctuelles et à des cartes pédologiques classiques de qualité reconnue.</w:t>
      </w:r>
    </w:p>
    <w:p w14:paraId="522D48B1" w14:textId="77777777" w:rsidR="00160641" w:rsidRPr="00677561" w:rsidRDefault="00160641" w:rsidP="00677561">
      <w:pPr>
        <w:pBdr>
          <w:top w:val="single" w:sz="4" w:space="1" w:color="auto"/>
          <w:left w:val="single" w:sz="4" w:space="4" w:color="auto"/>
          <w:bottom w:val="single" w:sz="4" w:space="1" w:color="auto"/>
          <w:right w:val="single" w:sz="4" w:space="4" w:color="auto"/>
        </w:pBdr>
        <w:rPr>
          <w:rFonts w:asciiTheme="majorHAnsi" w:hAnsiTheme="majorHAnsi" w:cstheme="majorHAnsi"/>
          <w:bCs/>
          <w:sz w:val="20"/>
          <w:szCs w:val="20"/>
        </w:rPr>
      </w:pPr>
    </w:p>
    <w:p w14:paraId="2E4A7CC1" w14:textId="77777777" w:rsidR="00677561"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b/>
          <w:bCs/>
          <w:sz w:val="20"/>
          <w:szCs w:val="20"/>
        </w:rPr>
        <w:t>Résultats</w:t>
      </w:r>
      <w:r w:rsidRPr="6730A098">
        <w:rPr>
          <w:rFonts w:asciiTheme="majorHAnsi" w:hAnsiTheme="majorHAnsi" w:cstheme="majorBidi"/>
          <w:sz w:val="20"/>
          <w:szCs w:val="20"/>
        </w:rPr>
        <w:t xml:space="preserve"> : </w:t>
      </w:r>
    </w:p>
    <w:p w14:paraId="529682CA" w14:textId="53C967C1" w:rsidR="00F96AFF"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Les évaluations montrent clairement que les cartes produites régionalement sont plus conformes aux références que les cartes nationales, qui sont elles-mêmes meilleures que les cartes globales (SoilGrids). Toutefois, quand l’évaluation est faite à l’échelle très locale, aucun des produits CSMS testé ne donne satisfaction. </w:t>
      </w:r>
    </w:p>
    <w:p w14:paraId="7AA0B267" w14:textId="77777777" w:rsidR="00F96AFF" w:rsidRPr="00677561" w:rsidRDefault="00F96AFF" w:rsidP="00677561">
      <w:pPr>
        <w:pBdr>
          <w:top w:val="single" w:sz="4" w:space="1" w:color="auto"/>
          <w:left w:val="single" w:sz="4" w:space="4" w:color="auto"/>
          <w:bottom w:val="single" w:sz="4" w:space="1" w:color="auto"/>
          <w:right w:val="single" w:sz="4" w:space="4" w:color="auto"/>
        </w:pBdr>
        <w:rPr>
          <w:rFonts w:asciiTheme="majorHAnsi" w:hAnsiTheme="majorHAnsi" w:cstheme="majorHAnsi"/>
          <w:bCs/>
          <w:sz w:val="20"/>
          <w:szCs w:val="20"/>
        </w:rPr>
      </w:pPr>
    </w:p>
    <w:p w14:paraId="01E925C3" w14:textId="77777777" w:rsidR="00677561"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b/>
          <w:bCs/>
          <w:sz w:val="20"/>
          <w:szCs w:val="20"/>
        </w:rPr>
        <w:t>Perspectives</w:t>
      </w:r>
      <w:r w:rsidRPr="6730A098">
        <w:rPr>
          <w:rFonts w:asciiTheme="majorHAnsi" w:hAnsiTheme="majorHAnsi" w:cstheme="majorBidi"/>
          <w:sz w:val="20"/>
          <w:szCs w:val="20"/>
        </w:rPr>
        <w:t xml:space="preserve"> :</w:t>
      </w:r>
    </w:p>
    <w:p w14:paraId="19D4DA2A" w14:textId="3E6ED854" w:rsidR="00BA7BA0"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L’augmentation de la qualité des produits CSMS lorsqu’ils sont développés à des échelles plus locales a été mise en évidence, ce qui invite à envisager la réalisation de cartes par CSMS à l’échelle de territoires. De cette façon, les processus locaux de formation des sols peuvent en effet être pris en compte spécifiquement et il est possible de tirer parti des expertises et données disponibles localement. </w:t>
      </w:r>
    </w:p>
    <w:p w14:paraId="685A658E" w14:textId="5347BCD9" w:rsid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L’accompagnement des utilisateurs et le transfert de compétences à des structures non académiques telles que des bureaux d’étude ou des organismes de conseil agricole est un autre défi de taille, relevé notamment par le CES Theia « cartographie numérique des sols » et le Réseau Mixte Technologique (RMT) Sols et Territoires. </w:t>
      </w:r>
    </w:p>
    <w:p w14:paraId="7D702698" w14:textId="77777777" w:rsidR="00BA7BA0" w:rsidRPr="00677561" w:rsidRDefault="00BA7BA0" w:rsidP="00677561">
      <w:pPr>
        <w:pBdr>
          <w:top w:val="single" w:sz="4" w:space="1" w:color="auto"/>
          <w:left w:val="single" w:sz="4" w:space="4" w:color="auto"/>
          <w:bottom w:val="single" w:sz="4" w:space="1" w:color="auto"/>
          <w:right w:val="single" w:sz="4" w:space="4" w:color="auto"/>
        </w:pBdr>
        <w:rPr>
          <w:rFonts w:asciiTheme="majorHAnsi" w:hAnsiTheme="majorHAnsi" w:cstheme="majorHAnsi"/>
          <w:bCs/>
          <w:sz w:val="20"/>
          <w:szCs w:val="20"/>
        </w:rPr>
      </w:pPr>
    </w:p>
    <w:p w14:paraId="6EF6EFDF" w14:textId="77777777" w:rsidR="00677561"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b/>
          <w:bCs/>
          <w:sz w:val="20"/>
          <w:szCs w:val="20"/>
        </w:rPr>
        <w:t>Valorisation</w:t>
      </w:r>
      <w:r w:rsidRPr="6730A098">
        <w:rPr>
          <w:rFonts w:asciiTheme="majorHAnsi" w:hAnsiTheme="majorHAnsi" w:cstheme="majorBidi"/>
          <w:sz w:val="20"/>
          <w:szCs w:val="20"/>
        </w:rPr>
        <w:t xml:space="preserve"> :</w:t>
      </w:r>
    </w:p>
    <w:p w14:paraId="22B8B74A" w14:textId="6BD4EBDE" w:rsidR="00DE3C08" w:rsidRPr="00BA7BA0"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Les données issues d’approches CSMS sont délivrées au format raster, requis par les outils de modélisation et d’aide à la décision, qui sont de plus en plus populaires auprès des décideurs et gestionnaires de territoires. Les technologies de diffusion et de mise à disposition des données géographique facilitent également la connaissance des données sols. La publication d’articles de référence et le transfert de compétences permettront de démultiplier les expériences en CSMS et de fédérer un collectif de producteurs et d’utilisateurs avertis. </w:t>
      </w:r>
    </w:p>
    <w:p w14:paraId="125D3573" w14:textId="5CE1772C" w:rsidR="00677561" w:rsidRPr="00677561" w:rsidRDefault="00677561" w:rsidP="00677561">
      <w:pPr>
        <w:pBdr>
          <w:top w:val="single" w:sz="4" w:space="1" w:color="auto"/>
          <w:left w:val="single" w:sz="4" w:space="4" w:color="auto"/>
          <w:bottom w:val="single" w:sz="4" w:space="1" w:color="auto"/>
          <w:right w:val="single" w:sz="4" w:space="4" w:color="auto"/>
        </w:pBdr>
        <w:rPr>
          <w:rFonts w:asciiTheme="majorHAnsi" w:hAnsiTheme="majorHAnsi" w:cstheme="majorHAnsi"/>
          <w:bCs/>
          <w:sz w:val="20"/>
          <w:szCs w:val="20"/>
        </w:rPr>
      </w:pPr>
    </w:p>
    <w:p w14:paraId="5FA17D33" w14:textId="455D3B50" w:rsidR="00677561" w:rsidRPr="00677561"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b/>
          <w:bCs/>
          <w:sz w:val="20"/>
          <w:szCs w:val="20"/>
        </w:rPr>
        <w:t>Références</w:t>
      </w:r>
      <w:r w:rsidRPr="6730A098">
        <w:rPr>
          <w:rFonts w:asciiTheme="majorHAnsi" w:hAnsiTheme="majorHAnsi" w:cstheme="majorBidi"/>
          <w:sz w:val="20"/>
          <w:szCs w:val="20"/>
        </w:rPr>
        <w:t xml:space="preserve"> </w:t>
      </w:r>
      <w:r w:rsidRPr="6730A098">
        <w:rPr>
          <w:rFonts w:asciiTheme="majorHAnsi" w:hAnsiTheme="majorHAnsi" w:cstheme="majorBidi"/>
          <w:b/>
          <w:bCs/>
          <w:sz w:val="20"/>
          <w:szCs w:val="20"/>
        </w:rPr>
        <w:t>bibliographiques</w:t>
      </w:r>
      <w:r w:rsidRPr="6730A098">
        <w:rPr>
          <w:rFonts w:asciiTheme="majorHAnsi" w:hAnsiTheme="majorHAnsi" w:cstheme="majorBidi"/>
          <w:sz w:val="20"/>
          <w:szCs w:val="20"/>
        </w:rPr>
        <w:t xml:space="preserve"> :</w:t>
      </w:r>
    </w:p>
    <w:p w14:paraId="514CF53A" w14:textId="00032D86" w:rsidR="00677561" w:rsidRPr="00784573" w:rsidRDefault="6730A098" w:rsidP="6730A098">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r w:rsidRPr="6730A098">
        <w:rPr>
          <w:rFonts w:asciiTheme="majorHAnsi" w:hAnsiTheme="majorHAnsi" w:cstheme="majorBidi"/>
          <w:sz w:val="20"/>
          <w:szCs w:val="20"/>
        </w:rPr>
        <w:t xml:space="preserve">Lemercier, B.; Lagacherie, P.; Amelin, J.; Sauter, J.; Richer-de-Forges, A.C.; Arrouays, D. 2022. </w:t>
      </w:r>
      <w:r w:rsidRPr="6730A098">
        <w:rPr>
          <w:rFonts w:asciiTheme="majorHAnsi" w:hAnsiTheme="majorHAnsi" w:cstheme="majorBidi"/>
          <w:sz w:val="20"/>
          <w:szCs w:val="20"/>
          <w:lang w:val="en-US"/>
        </w:rPr>
        <w:t xml:space="preserve">Multiscale evaluations of global, national and regional digital soil mapping products in France across regions and soil properties. </w:t>
      </w:r>
      <w:r w:rsidRPr="6730A098">
        <w:rPr>
          <w:rFonts w:asciiTheme="majorHAnsi" w:hAnsiTheme="majorHAnsi" w:cstheme="majorBidi"/>
          <w:sz w:val="20"/>
          <w:szCs w:val="20"/>
        </w:rPr>
        <w:t>Geoderma, 425.</w:t>
      </w:r>
    </w:p>
    <w:p w14:paraId="66B7CC2C" w14:textId="77777777" w:rsidR="00677561" w:rsidRPr="00784573" w:rsidRDefault="00677561" w:rsidP="00EB7590">
      <w:pPr>
        <w:rPr>
          <w:rFonts w:asciiTheme="majorHAnsi" w:hAnsiTheme="majorHAnsi" w:cstheme="majorHAnsi"/>
          <w:bCs/>
          <w:sz w:val="20"/>
          <w:szCs w:val="20"/>
        </w:rPr>
      </w:pPr>
    </w:p>
    <w:p w14:paraId="79C26E2F" w14:textId="52652BDA" w:rsidR="00784573" w:rsidRDefault="00784573" w:rsidP="00AB0CED">
      <w:pPr>
        <w:pBdr>
          <w:top w:val="single" w:sz="4" w:space="1" w:color="auto"/>
          <w:left w:val="single" w:sz="4" w:space="4" w:color="auto"/>
          <w:bottom w:val="single" w:sz="4" w:space="1" w:color="auto"/>
          <w:right w:val="single" w:sz="4" w:space="4" w:color="auto"/>
        </w:pBdr>
        <w:jc w:val="center"/>
        <w:rPr>
          <w:rFonts w:asciiTheme="majorHAnsi" w:hAnsiTheme="majorHAnsi" w:cstheme="majorBidi"/>
          <w:sz w:val="20"/>
          <w:szCs w:val="20"/>
        </w:rPr>
      </w:pPr>
      <w:r>
        <w:rPr>
          <w:noProof/>
        </w:rPr>
        <w:lastRenderedPageBreak/>
        <w:drawing>
          <wp:inline distT="0" distB="0" distL="0" distR="0" wp14:anchorId="2734D7E4" wp14:editId="09656730">
            <wp:extent cx="3977915" cy="4950555"/>
            <wp:effectExtent l="0" t="0" r="3810" b="2540"/>
            <wp:docPr id="1" name="Image 1" descr="https://ars.els-cdn.com/content/image/1-s2.0-S0016706122003597-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016706122003597-gr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9270" cy="4964686"/>
                    </a:xfrm>
                    <a:prstGeom prst="rect">
                      <a:avLst/>
                    </a:prstGeom>
                    <a:noFill/>
                    <a:ln>
                      <a:noFill/>
                    </a:ln>
                  </pic:spPr>
                </pic:pic>
              </a:graphicData>
            </a:graphic>
          </wp:inline>
        </w:drawing>
      </w:r>
    </w:p>
    <w:p w14:paraId="605C028C" w14:textId="77777777" w:rsidR="00784573" w:rsidRDefault="00784573" w:rsidP="53B4405B">
      <w:pPr>
        <w:pBdr>
          <w:top w:val="single" w:sz="4" w:space="1" w:color="auto"/>
          <w:left w:val="single" w:sz="4" w:space="4" w:color="auto"/>
          <w:bottom w:val="single" w:sz="4" w:space="1" w:color="auto"/>
          <w:right w:val="single" w:sz="4" w:space="4" w:color="auto"/>
        </w:pBdr>
        <w:rPr>
          <w:rFonts w:asciiTheme="majorHAnsi" w:hAnsiTheme="majorHAnsi" w:cstheme="majorBidi"/>
          <w:sz w:val="20"/>
          <w:szCs w:val="20"/>
        </w:rPr>
      </w:pPr>
    </w:p>
    <w:p w14:paraId="05238092" w14:textId="77E3A5D3" w:rsidR="00784573" w:rsidRPr="00784573" w:rsidRDefault="6730A098" w:rsidP="6730A098">
      <w:pPr>
        <w:pBdr>
          <w:top w:val="single" w:sz="4" w:space="1" w:color="auto"/>
          <w:left w:val="single" w:sz="4" w:space="4" w:color="auto"/>
          <w:bottom w:val="single" w:sz="4" w:space="1" w:color="auto"/>
          <w:right w:val="single" w:sz="4" w:space="4" w:color="auto"/>
        </w:pBdr>
        <w:jc w:val="center"/>
        <w:rPr>
          <w:rFonts w:asciiTheme="majorHAnsi" w:hAnsiTheme="majorHAnsi" w:cstheme="majorBidi"/>
          <w:b/>
          <w:bCs/>
          <w:sz w:val="20"/>
          <w:szCs w:val="20"/>
        </w:rPr>
      </w:pPr>
      <w:r w:rsidRPr="6730A098">
        <w:rPr>
          <w:rFonts w:asciiTheme="majorHAnsi" w:hAnsiTheme="majorHAnsi" w:cstheme="majorBidi"/>
          <w:b/>
          <w:bCs/>
          <w:sz w:val="20"/>
          <w:szCs w:val="20"/>
        </w:rPr>
        <w:t>Cartes du pH de la couche 5-15 cm en languedoc-Roussillon issues de cartes de référence et de produits de CSMS testées à 3 échelles : régionale, intermédiaire et locale (Lemercier et al., 2022, Geoderma)</w:t>
      </w:r>
    </w:p>
    <w:p w14:paraId="2C5BD86C" w14:textId="6C48B903" w:rsidR="53B4405B" w:rsidRDefault="53B4405B" w:rsidP="53B4405B">
      <w:pPr>
        <w:rPr>
          <w:rFonts w:asciiTheme="majorHAnsi" w:hAnsiTheme="majorHAnsi" w:cstheme="majorBidi"/>
          <w:sz w:val="20"/>
          <w:szCs w:val="20"/>
        </w:rPr>
      </w:pPr>
    </w:p>
    <w:p w14:paraId="08DFE85D" w14:textId="1E60B1EF" w:rsidR="00990247" w:rsidRPr="00994958" w:rsidRDefault="00990247" w:rsidP="00994958">
      <w:pPr>
        <w:rPr>
          <w:rFonts w:asciiTheme="majorHAnsi" w:hAnsiTheme="majorHAnsi" w:cstheme="majorBidi"/>
          <w:b/>
          <w:bCs/>
          <w:sz w:val="22"/>
          <w:szCs w:val="22"/>
        </w:rPr>
      </w:pPr>
    </w:p>
    <w:sectPr w:rsidR="00990247" w:rsidRPr="00994958" w:rsidSect="00D55281">
      <w:footerReference w:type="even" r:id="rId14"/>
      <w:footerReference w:type="default" r:id="rId15"/>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5E6A" w14:textId="77777777" w:rsidR="00B350EE" w:rsidRDefault="00B350EE">
      <w:r>
        <w:separator/>
      </w:r>
    </w:p>
  </w:endnote>
  <w:endnote w:type="continuationSeparator" w:id="0">
    <w:p w14:paraId="3E04050A" w14:textId="77777777" w:rsidR="00B350EE" w:rsidRDefault="00B350EE">
      <w:r>
        <w:continuationSeparator/>
      </w:r>
    </w:p>
  </w:endnote>
  <w:endnote w:type="continuationNotice" w:id="1">
    <w:p w14:paraId="5FE784EC" w14:textId="77777777" w:rsidR="00417152" w:rsidRDefault="00417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34F" w14:textId="77777777" w:rsidR="00B350EE" w:rsidRDefault="00B350EE" w:rsidP="00B350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B350EE" w:rsidRDefault="00B350EE" w:rsidP="00C748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520" w14:textId="534AC55F" w:rsidR="00B350EE" w:rsidRDefault="00B350EE" w:rsidP="00B350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0AFF">
      <w:rPr>
        <w:rStyle w:val="Numrodepage"/>
        <w:noProof/>
      </w:rPr>
      <w:t>1</w:t>
    </w:r>
    <w:r>
      <w:rPr>
        <w:rStyle w:val="Numrodepage"/>
      </w:rPr>
      <w:fldChar w:fldCharType="end"/>
    </w:r>
  </w:p>
  <w:p w14:paraId="64A6E498" w14:textId="77777777" w:rsidR="00B350EE" w:rsidRDefault="00B350EE"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290E" w14:textId="77777777" w:rsidR="00B350EE" w:rsidRDefault="00B350EE">
      <w:r>
        <w:separator/>
      </w:r>
    </w:p>
  </w:footnote>
  <w:footnote w:type="continuationSeparator" w:id="0">
    <w:p w14:paraId="5EDA2D59" w14:textId="77777777" w:rsidR="00B350EE" w:rsidRDefault="00B350EE">
      <w:r>
        <w:continuationSeparator/>
      </w:r>
    </w:p>
  </w:footnote>
  <w:footnote w:type="continuationNotice" w:id="1">
    <w:p w14:paraId="54CAAD21" w14:textId="77777777" w:rsidR="00417152" w:rsidRDefault="004171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F28AC"/>
    <w:multiLevelType w:val="hybridMultilevel"/>
    <w:tmpl w:val="27CE8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42B69"/>
    <w:multiLevelType w:val="hybridMultilevel"/>
    <w:tmpl w:val="140C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9"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28"/>
  </w:num>
  <w:num w:numId="6">
    <w:abstractNumId w:val="6"/>
  </w:num>
  <w:num w:numId="7">
    <w:abstractNumId w:val="20"/>
  </w:num>
  <w:num w:numId="8">
    <w:abstractNumId w:val="27"/>
  </w:num>
  <w:num w:numId="9">
    <w:abstractNumId w:val="34"/>
  </w:num>
  <w:num w:numId="10">
    <w:abstractNumId w:val="30"/>
  </w:num>
  <w:num w:numId="11">
    <w:abstractNumId w:val="32"/>
  </w:num>
  <w:num w:numId="12">
    <w:abstractNumId w:val="29"/>
  </w:num>
  <w:num w:numId="13">
    <w:abstractNumId w:val="19"/>
  </w:num>
  <w:num w:numId="14">
    <w:abstractNumId w:val="14"/>
  </w:num>
  <w:num w:numId="15">
    <w:abstractNumId w:val="31"/>
  </w:num>
  <w:num w:numId="16">
    <w:abstractNumId w:val="3"/>
  </w:num>
  <w:num w:numId="17">
    <w:abstractNumId w:val="12"/>
  </w:num>
  <w:num w:numId="18">
    <w:abstractNumId w:val="25"/>
  </w:num>
  <w:num w:numId="19">
    <w:abstractNumId w:val="16"/>
  </w:num>
  <w:num w:numId="20">
    <w:abstractNumId w:val="15"/>
  </w:num>
  <w:num w:numId="21">
    <w:abstractNumId w:val="9"/>
  </w:num>
  <w:num w:numId="22">
    <w:abstractNumId w:val="4"/>
  </w:num>
  <w:num w:numId="23">
    <w:abstractNumId w:val="26"/>
  </w:num>
  <w:num w:numId="24">
    <w:abstractNumId w:val="22"/>
  </w:num>
  <w:num w:numId="25">
    <w:abstractNumId w:val="33"/>
  </w:num>
  <w:num w:numId="26">
    <w:abstractNumId w:val="0"/>
  </w:num>
  <w:num w:numId="27">
    <w:abstractNumId w:val="7"/>
  </w:num>
  <w:num w:numId="28">
    <w:abstractNumId w:val="23"/>
  </w:num>
  <w:num w:numId="29">
    <w:abstractNumId w:val="35"/>
  </w:num>
  <w:num w:numId="30">
    <w:abstractNumId w:val="18"/>
  </w:num>
  <w:num w:numId="31">
    <w:abstractNumId w:val="11"/>
  </w:num>
  <w:num w:numId="32">
    <w:abstractNumId w:val="17"/>
  </w:num>
  <w:num w:numId="33">
    <w:abstractNumId w:val="21"/>
  </w:num>
  <w:num w:numId="34">
    <w:abstractNumId w:val="8"/>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6"/>
    <w:rsid w:val="0000034B"/>
    <w:rsid w:val="0000575D"/>
    <w:rsid w:val="00014A65"/>
    <w:rsid w:val="00016FC5"/>
    <w:rsid w:val="00020C76"/>
    <w:rsid w:val="00024AEB"/>
    <w:rsid w:val="00026AE3"/>
    <w:rsid w:val="00027C44"/>
    <w:rsid w:val="00027D64"/>
    <w:rsid w:val="00027FCA"/>
    <w:rsid w:val="00032CBB"/>
    <w:rsid w:val="00034EF0"/>
    <w:rsid w:val="000350C4"/>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602E"/>
    <w:rsid w:val="000B0AFF"/>
    <w:rsid w:val="000B123C"/>
    <w:rsid w:val="000B21B5"/>
    <w:rsid w:val="000B4089"/>
    <w:rsid w:val="000B7335"/>
    <w:rsid w:val="000C2B29"/>
    <w:rsid w:val="000C5ECB"/>
    <w:rsid w:val="000C62F1"/>
    <w:rsid w:val="000D1B9B"/>
    <w:rsid w:val="000D2DF2"/>
    <w:rsid w:val="000D4159"/>
    <w:rsid w:val="000D7075"/>
    <w:rsid w:val="000E0C81"/>
    <w:rsid w:val="000E51E2"/>
    <w:rsid w:val="000E5536"/>
    <w:rsid w:val="000E596C"/>
    <w:rsid w:val="001015BD"/>
    <w:rsid w:val="0010566E"/>
    <w:rsid w:val="00107121"/>
    <w:rsid w:val="0011022D"/>
    <w:rsid w:val="00111F01"/>
    <w:rsid w:val="0011219B"/>
    <w:rsid w:val="0011480F"/>
    <w:rsid w:val="00115DB0"/>
    <w:rsid w:val="00116070"/>
    <w:rsid w:val="00123E0D"/>
    <w:rsid w:val="001246AF"/>
    <w:rsid w:val="00124FBF"/>
    <w:rsid w:val="00133278"/>
    <w:rsid w:val="0013556B"/>
    <w:rsid w:val="00135700"/>
    <w:rsid w:val="00141E77"/>
    <w:rsid w:val="00143143"/>
    <w:rsid w:val="00144D47"/>
    <w:rsid w:val="00146A43"/>
    <w:rsid w:val="001507A4"/>
    <w:rsid w:val="00152962"/>
    <w:rsid w:val="00153C29"/>
    <w:rsid w:val="00154454"/>
    <w:rsid w:val="001578DA"/>
    <w:rsid w:val="00160641"/>
    <w:rsid w:val="00161257"/>
    <w:rsid w:val="00164788"/>
    <w:rsid w:val="00165A64"/>
    <w:rsid w:val="00167E58"/>
    <w:rsid w:val="00170A39"/>
    <w:rsid w:val="00171B14"/>
    <w:rsid w:val="0017525F"/>
    <w:rsid w:val="00176869"/>
    <w:rsid w:val="00180506"/>
    <w:rsid w:val="0018059D"/>
    <w:rsid w:val="00186EF1"/>
    <w:rsid w:val="001903FE"/>
    <w:rsid w:val="001904E8"/>
    <w:rsid w:val="001916BF"/>
    <w:rsid w:val="00192445"/>
    <w:rsid w:val="001A3821"/>
    <w:rsid w:val="001C32FD"/>
    <w:rsid w:val="001C42E8"/>
    <w:rsid w:val="001C5F35"/>
    <w:rsid w:val="001C6CD9"/>
    <w:rsid w:val="001D06DA"/>
    <w:rsid w:val="001D1403"/>
    <w:rsid w:val="001D19F2"/>
    <w:rsid w:val="001D2D69"/>
    <w:rsid w:val="001D4440"/>
    <w:rsid w:val="001D5BE6"/>
    <w:rsid w:val="001D66B0"/>
    <w:rsid w:val="001E0A6A"/>
    <w:rsid w:val="001E23CC"/>
    <w:rsid w:val="001E6702"/>
    <w:rsid w:val="002017E7"/>
    <w:rsid w:val="0020307F"/>
    <w:rsid w:val="00204843"/>
    <w:rsid w:val="002060A2"/>
    <w:rsid w:val="00206314"/>
    <w:rsid w:val="002071E1"/>
    <w:rsid w:val="00210F38"/>
    <w:rsid w:val="00215AD8"/>
    <w:rsid w:val="0021702B"/>
    <w:rsid w:val="00217BC6"/>
    <w:rsid w:val="00220F6B"/>
    <w:rsid w:val="00222658"/>
    <w:rsid w:val="00222FB8"/>
    <w:rsid w:val="00224335"/>
    <w:rsid w:val="00225723"/>
    <w:rsid w:val="00231B20"/>
    <w:rsid w:val="0023571B"/>
    <w:rsid w:val="00235A86"/>
    <w:rsid w:val="00237B38"/>
    <w:rsid w:val="00237B93"/>
    <w:rsid w:val="0024080F"/>
    <w:rsid w:val="00241625"/>
    <w:rsid w:val="002449A4"/>
    <w:rsid w:val="0024549C"/>
    <w:rsid w:val="00250C7D"/>
    <w:rsid w:val="0025139A"/>
    <w:rsid w:val="00251EAE"/>
    <w:rsid w:val="002521FA"/>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3FD6"/>
    <w:rsid w:val="002B412C"/>
    <w:rsid w:val="002B67CF"/>
    <w:rsid w:val="002B75F8"/>
    <w:rsid w:val="002C20D7"/>
    <w:rsid w:val="002C3701"/>
    <w:rsid w:val="002C4694"/>
    <w:rsid w:val="002C50FB"/>
    <w:rsid w:val="002C5FCC"/>
    <w:rsid w:val="002D06FA"/>
    <w:rsid w:val="002D476D"/>
    <w:rsid w:val="002D5664"/>
    <w:rsid w:val="002D7230"/>
    <w:rsid w:val="002E02E6"/>
    <w:rsid w:val="002E0897"/>
    <w:rsid w:val="002E15DE"/>
    <w:rsid w:val="002E2D5B"/>
    <w:rsid w:val="002E75FE"/>
    <w:rsid w:val="002F0EC3"/>
    <w:rsid w:val="002F2B40"/>
    <w:rsid w:val="002F2DE8"/>
    <w:rsid w:val="002F4F58"/>
    <w:rsid w:val="002F594F"/>
    <w:rsid w:val="002F7A99"/>
    <w:rsid w:val="00303C51"/>
    <w:rsid w:val="00313309"/>
    <w:rsid w:val="00317921"/>
    <w:rsid w:val="00317A46"/>
    <w:rsid w:val="003254EC"/>
    <w:rsid w:val="00325D68"/>
    <w:rsid w:val="00325DE0"/>
    <w:rsid w:val="0033073C"/>
    <w:rsid w:val="003357E1"/>
    <w:rsid w:val="00337FB1"/>
    <w:rsid w:val="003417D7"/>
    <w:rsid w:val="00343434"/>
    <w:rsid w:val="003475DC"/>
    <w:rsid w:val="003510B1"/>
    <w:rsid w:val="00351449"/>
    <w:rsid w:val="003606DC"/>
    <w:rsid w:val="00365EF8"/>
    <w:rsid w:val="003673DB"/>
    <w:rsid w:val="00372EB0"/>
    <w:rsid w:val="00374F0D"/>
    <w:rsid w:val="00375F7C"/>
    <w:rsid w:val="00376508"/>
    <w:rsid w:val="003766D7"/>
    <w:rsid w:val="003804AB"/>
    <w:rsid w:val="00386464"/>
    <w:rsid w:val="00391FBF"/>
    <w:rsid w:val="00393091"/>
    <w:rsid w:val="003947E3"/>
    <w:rsid w:val="003949F9"/>
    <w:rsid w:val="003A0590"/>
    <w:rsid w:val="003A067D"/>
    <w:rsid w:val="003A5282"/>
    <w:rsid w:val="003A5915"/>
    <w:rsid w:val="003B18D9"/>
    <w:rsid w:val="003B556C"/>
    <w:rsid w:val="003B5622"/>
    <w:rsid w:val="003B59B4"/>
    <w:rsid w:val="003C2CC4"/>
    <w:rsid w:val="003C522A"/>
    <w:rsid w:val="003D02A9"/>
    <w:rsid w:val="003D15DE"/>
    <w:rsid w:val="003D2D4A"/>
    <w:rsid w:val="003D3D67"/>
    <w:rsid w:val="003D433C"/>
    <w:rsid w:val="003D6EDD"/>
    <w:rsid w:val="003E35FB"/>
    <w:rsid w:val="003F7E5E"/>
    <w:rsid w:val="004031BE"/>
    <w:rsid w:val="0041289B"/>
    <w:rsid w:val="00412EBF"/>
    <w:rsid w:val="00415856"/>
    <w:rsid w:val="00417152"/>
    <w:rsid w:val="00420FDD"/>
    <w:rsid w:val="004214F8"/>
    <w:rsid w:val="00421B52"/>
    <w:rsid w:val="0042217B"/>
    <w:rsid w:val="00423AAC"/>
    <w:rsid w:val="00424120"/>
    <w:rsid w:val="00435033"/>
    <w:rsid w:val="004418E7"/>
    <w:rsid w:val="00443143"/>
    <w:rsid w:val="0044367D"/>
    <w:rsid w:val="0044502D"/>
    <w:rsid w:val="004467F4"/>
    <w:rsid w:val="00450E41"/>
    <w:rsid w:val="00452F3E"/>
    <w:rsid w:val="00453D18"/>
    <w:rsid w:val="004541B5"/>
    <w:rsid w:val="00457F39"/>
    <w:rsid w:val="00460B69"/>
    <w:rsid w:val="0046143C"/>
    <w:rsid w:val="00466C44"/>
    <w:rsid w:val="00474A91"/>
    <w:rsid w:val="004776C4"/>
    <w:rsid w:val="0048063A"/>
    <w:rsid w:val="00481A6C"/>
    <w:rsid w:val="00482570"/>
    <w:rsid w:val="00486196"/>
    <w:rsid w:val="004877A8"/>
    <w:rsid w:val="004901FA"/>
    <w:rsid w:val="00491F9A"/>
    <w:rsid w:val="0049574C"/>
    <w:rsid w:val="004A7EF3"/>
    <w:rsid w:val="004B18B4"/>
    <w:rsid w:val="004B25A3"/>
    <w:rsid w:val="004B5295"/>
    <w:rsid w:val="004B69FD"/>
    <w:rsid w:val="004C38E8"/>
    <w:rsid w:val="004D14E5"/>
    <w:rsid w:val="004D481B"/>
    <w:rsid w:val="004E3104"/>
    <w:rsid w:val="004E3AA9"/>
    <w:rsid w:val="004F63BE"/>
    <w:rsid w:val="004F6B03"/>
    <w:rsid w:val="004F7DA5"/>
    <w:rsid w:val="00503802"/>
    <w:rsid w:val="00505964"/>
    <w:rsid w:val="00510176"/>
    <w:rsid w:val="00510F72"/>
    <w:rsid w:val="00512932"/>
    <w:rsid w:val="00514EDD"/>
    <w:rsid w:val="00515DFF"/>
    <w:rsid w:val="00517B83"/>
    <w:rsid w:val="00517BB7"/>
    <w:rsid w:val="00524091"/>
    <w:rsid w:val="0052711F"/>
    <w:rsid w:val="00530F72"/>
    <w:rsid w:val="00535F1F"/>
    <w:rsid w:val="00536A14"/>
    <w:rsid w:val="00540B71"/>
    <w:rsid w:val="005410A6"/>
    <w:rsid w:val="00542B4C"/>
    <w:rsid w:val="005457E5"/>
    <w:rsid w:val="00545C41"/>
    <w:rsid w:val="00550688"/>
    <w:rsid w:val="0055486C"/>
    <w:rsid w:val="00557052"/>
    <w:rsid w:val="00560462"/>
    <w:rsid w:val="00563892"/>
    <w:rsid w:val="005641B5"/>
    <w:rsid w:val="0056664F"/>
    <w:rsid w:val="005708A5"/>
    <w:rsid w:val="005751A2"/>
    <w:rsid w:val="00575DED"/>
    <w:rsid w:val="00581B50"/>
    <w:rsid w:val="005905DA"/>
    <w:rsid w:val="00592D53"/>
    <w:rsid w:val="00594DE4"/>
    <w:rsid w:val="00596D86"/>
    <w:rsid w:val="00597652"/>
    <w:rsid w:val="00597FA7"/>
    <w:rsid w:val="005A1682"/>
    <w:rsid w:val="005B0442"/>
    <w:rsid w:val="005B1E9A"/>
    <w:rsid w:val="005B2E67"/>
    <w:rsid w:val="005B3FEC"/>
    <w:rsid w:val="005B48CC"/>
    <w:rsid w:val="005B4DEE"/>
    <w:rsid w:val="005C029F"/>
    <w:rsid w:val="005C0A5D"/>
    <w:rsid w:val="005C370A"/>
    <w:rsid w:val="005C5F8F"/>
    <w:rsid w:val="005C6403"/>
    <w:rsid w:val="005C6A1A"/>
    <w:rsid w:val="005D28BE"/>
    <w:rsid w:val="005D5601"/>
    <w:rsid w:val="005D5FAD"/>
    <w:rsid w:val="005E6525"/>
    <w:rsid w:val="005F149C"/>
    <w:rsid w:val="005F25CB"/>
    <w:rsid w:val="005F2C16"/>
    <w:rsid w:val="005F302F"/>
    <w:rsid w:val="00600D84"/>
    <w:rsid w:val="00602864"/>
    <w:rsid w:val="00603CC3"/>
    <w:rsid w:val="00604F80"/>
    <w:rsid w:val="006051D6"/>
    <w:rsid w:val="00605569"/>
    <w:rsid w:val="006116D7"/>
    <w:rsid w:val="006128CC"/>
    <w:rsid w:val="00613F73"/>
    <w:rsid w:val="00617949"/>
    <w:rsid w:val="00617C29"/>
    <w:rsid w:val="00624842"/>
    <w:rsid w:val="00626186"/>
    <w:rsid w:val="006278E5"/>
    <w:rsid w:val="0063005E"/>
    <w:rsid w:val="00634D30"/>
    <w:rsid w:val="006377A1"/>
    <w:rsid w:val="0064046D"/>
    <w:rsid w:val="00642C36"/>
    <w:rsid w:val="00643428"/>
    <w:rsid w:val="0064426E"/>
    <w:rsid w:val="0065069D"/>
    <w:rsid w:val="00652754"/>
    <w:rsid w:val="00653112"/>
    <w:rsid w:val="00653759"/>
    <w:rsid w:val="00654870"/>
    <w:rsid w:val="00661EB1"/>
    <w:rsid w:val="00664271"/>
    <w:rsid w:val="00666D17"/>
    <w:rsid w:val="00677561"/>
    <w:rsid w:val="00682FCA"/>
    <w:rsid w:val="006910D6"/>
    <w:rsid w:val="00693430"/>
    <w:rsid w:val="00693614"/>
    <w:rsid w:val="006939D0"/>
    <w:rsid w:val="00693C4C"/>
    <w:rsid w:val="00695193"/>
    <w:rsid w:val="0069632C"/>
    <w:rsid w:val="00696A0A"/>
    <w:rsid w:val="006A27C1"/>
    <w:rsid w:val="006A5B3D"/>
    <w:rsid w:val="006A72F0"/>
    <w:rsid w:val="006C42A2"/>
    <w:rsid w:val="006C4539"/>
    <w:rsid w:val="006C56AC"/>
    <w:rsid w:val="006C630D"/>
    <w:rsid w:val="006C7464"/>
    <w:rsid w:val="006D0DB6"/>
    <w:rsid w:val="006D42BB"/>
    <w:rsid w:val="006E1391"/>
    <w:rsid w:val="006E6DD3"/>
    <w:rsid w:val="006F255E"/>
    <w:rsid w:val="006F3A09"/>
    <w:rsid w:val="006F5352"/>
    <w:rsid w:val="006F6B94"/>
    <w:rsid w:val="00701585"/>
    <w:rsid w:val="007113E6"/>
    <w:rsid w:val="00713A5E"/>
    <w:rsid w:val="00714561"/>
    <w:rsid w:val="00717E4F"/>
    <w:rsid w:val="0072293C"/>
    <w:rsid w:val="0072651F"/>
    <w:rsid w:val="0073365D"/>
    <w:rsid w:val="00735C76"/>
    <w:rsid w:val="00737393"/>
    <w:rsid w:val="00741429"/>
    <w:rsid w:val="00743E35"/>
    <w:rsid w:val="00750114"/>
    <w:rsid w:val="00751040"/>
    <w:rsid w:val="007527BB"/>
    <w:rsid w:val="00755A96"/>
    <w:rsid w:val="00756CAC"/>
    <w:rsid w:val="0075784F"/>
    <w:rsid w:val="00771A50"/>
    <w:rsid w:val="007723E6"/>
    <w:rsid w:val="00777DB1"/>
    <w:rsid w:val="007809A9"/>
    <w:rsid w:val="00784573"/>
    <w:rsid w:val="007848C3"/>
    <w:rsid w:val="00786849"/>
    <w:rsid w:val="00791DA3"/>
    <w:rsid w:val="00796C52"/>
    <w:rsid w:val="00796FAB"/>
    <w:rsid w:val="007A0DC0"/>
    <w:rsid w:val="007A251C"/>
    <w:rsid w:val="007A34C8"/>
    <w:rsid w:val="007A41BD"/>
    <w:rsid w:val="007A4FE2"/>
    <w:rsid w:val="007A5FB4"/>
    <w:rsid w:val="007B20F6"/>
    <w:rsid w:val="007B482C"/>
    <w:rsid w:val="007B626A"/>
    <w:rsid w:val="007B643C"/>
    <w:rsid w:val="007B6CA5"/>
    <w:rsid w:val="007C2D59"/>
    <w:rsid w:val="007C3AD9"/>
    <w:rsid w:val="007C72A0"/>
    <w:rsid w:val="007D0AE6"/>
    <w:rsid w:val="007D1CD5"/>
    <w:rsid w:val="007D2126"/>
    <w:rsid w:val="007D3BC9"/>
    <w:rsid w:val="007D5E29"/>
    <w:rsid w:val="007D689E"/>
    <w:rsid w:val="007E1782"/>
    <w:rsid w:val="007E1B74"/>
    <w:rsid w:val="007E57E9"/>
    <w:rsid w:val="007E689A"/>
    <w:rsid w:val="007F170C"/>
    <w:rsid w:val="007F4EFD"/>
    <w:rsid w:val="008021E1"/>
    <w:rsid w:val="00803534"/>
    <w:rsid w:val="00804F46"/>
    <w:rsid w:val="00805636"/>
    <w:rsid w:val="00813F17"/>
    <w:rsid w:val="0081426C"/>
    <w:rsid w:val="00814DB2"/>
    <w:rsid w:val="0081594D"/>
    <w:rsid w:val="00821C29"/>
    <w:rsid w:val="008239BC"/>
    <w:rsid w:val="00825EDD"/>
    <w:rsid w:val="0082649D"/>
    <w:rsid w:val="00831735"/>
    <w:rsid w:val="00832B10"/>
    <w:rsid w:val="00836426"/>
    <w:rsid w:val="00836434"/>
    <w:rsid w:val="00843EC9"/>
    <w:rsid w:val="00847EB2"/>
    <w:rsid w:val="00852ADA"/>
    <w:rsid w:val="00861288"/>
    <w:rsid w:val="00861CA0"/>
    <w:rsid w:val="00863234"/>
    <w:rsid w:val="00863E45"/>
    <w:rsid w:val="00864062"/>
    <w:rsid w:val="00871C64"/>
    <w:rsid w:val="008738F3"/>
    <w:rsid w:val="00873E7B"/>
    <w:rsid w:val="00877F38"/>
    <w:rsid w:val="00882B45"/>
    <w:rsid w:val="00885150"/>
    <w:rsid w:val="0088531B"/>
    <w:rsid w:val="00887574"/>
    <w:rsid w:val="00891E1F"/>
    <w:rsid w:val="008932E8"/>
    <w:rsid w:val="008A4CC3"/>
    <w:rsid w:val="008A5EBE"/>
    <w:rsid w:val="008A7482"/>
    <w:rsid w:val="008B0AE6"/>
    <w:rsid w:val="008B1D7D"/>
    <w:rsid w:val="008C00B3"/>
    <w:rsid w:val="008C1C00"/>
    <w:rsid w:val="008C1E7F"/>
    <w:rsid w:val="008D39EA"/>
    <w:rsid w:val="008D5222"/>
    <w:rsid w:val="008D5A1D"/>
    <w:rsid w:val="008D73B1"/>
    <w:rsid w:val="008D772E"/>
    <w:rsid w:val="008E0BE4"/>
    <w:rsid w:val="008E12A2"/>
    <w:rsid w:val="008E1496"/>
    <w:rsid w:val="008E6757"/>
    <w:rsid w:val="008E7DFF"/>
    <w:rsid w:val="008F4A12"/>
    <w:rsid w:val="008F5047"/>
    <w:rsid w:val="00900C38"/>
    <w:rsid w:val="00901E11"/>
    <w:rsid w:val="009030C9"/>
    <w:rsid w:val="00903BA3"/>
    <w:rsid w:val="00905EFF"/>
    <w:rsid w:val="00906849"/>
    <w:rsid w:val="00907A3A"/>
    <w:rsid w:val="009105E8"/>
    <w:rsid w:val="009108CC"/>
    <w:rsid w:val="009142D2"/>
    <w:rsid w:val="0091520C"/>
    <w:rsid w:val="009203B0"/>
    <w:rsid w:val="00921508"/>
    <w:rsid w:val="00926F88"/>
    <w:rsid w:val="009318EF"/>
    <w:rsid w:val="00944FA0"/>
    <w:rsid w:val="0094589B"/>
    <w:rsid w:val="00945AD5"/>
    <w:rsid w:val="0094639F"/>
    <w:rsid w:val="00950173"/>
    <w:rsid w:val="00950384"/>
    <w:rsid w:val="0096117E"/>
    <w:rsid w:val="00962BEB"/>
    <w:rsid w:val="00963120"/>
    <w:rsid w:val="00964AE3"/>
    <w:rsid w:val="009726F0"/>
    <w:rsid w:val="0097595B"/>
    <w:rsid w:val="00975B67"/>
    <w:rsid w:val="00983AD8"/>
    <w:rsid w:val="00990247"/>
    <w:rsid w:val="00990DCA"/>
    <w:rsid w:val="0099122B"/>
    <w:rsid w:val="009928EE"/>
    <w:rsid w:val="00994958"/>
    <w:rsid w:val="00994FAE"/>
    <w:rsid w:val="00995A6C"/>
    <w:rsid w:val="009A1076"/>
    <w:rsid w:val="009B23B7"/>
    <w:rsid w:val="009B500F"/>
    <w:rsid w:val="009C7D95"/>
    <w:rsid w:val="009D0095"/>
    <w:rsid w:val="009D0959"/>
    <w:rsid w:val="009D0C43"/>
    <w:rsid w:val="009D25C1"/>
    <w:rsid w:val="009D36B2"/>
    <w:rsid w:val="009D3B39"/>
    <w:rsid w:val="009D46E6"/>
    <w:rsid w:val="009D5B87"/>
    <w:rsid w:val="009D6362"/>
    <w:rsid w:val="009D680D"/>
    <w:rsid w:val="009D7423"/>
    <w:rsid w:val="009E3F69"/>
    <w:rsid w:val="009E461B"/>
    <w:rsid w:val="009E6874"/>
    <w:rsid w:val="009F007D"/>
    <w:rsid w:val="009F0A3A"/>
    <w:rsid w:val="009F1CCC"/>
    <w:rsid w:val="009F36E0"/>
    <w:rsid w:val="009F71D5"/>
    <w:rsid w:val="009F78A6"/>
    <w:rsid w:val="00A01294"/>
    <w:rsid w:val="00A02087"/>
    <w:rsid w:val="00A02C8D"/>
    <w:rsid w:val="00A04578"/>
    <w:rsid w:val="00A137D9"/>
    <w:rsid w:val="00A147F9"/>
    <w:rsid w:val="00A17080"/>
    <w:rsid w:val="00A211D4"/>
    <w:rsid w:val="00A22815"/>
    <w:rsid w:val="00A22A86"/>
    <w:rsid w:val="00A24385"/>
    <w:rsid w:val="00A243B8"/>
    <w:rsid w:val="00A313DA"/>
    <w:rsid w:val="00A37FC8"/>
    <w:rsid w:val="00A46D75"/>
    <w:rsid w:val="00A47E9E"/>
    <w:rsid w:val="00A5316C"/>
    <w:rsid w:val="00A57B31"/>
    <w:rsid w:val="00A62129"/>
    <w:rsid w:val="00A627DE"/>
    <w:rsid w:val="00A63476"/>
    <w:rsid w:val="00A6516A"/>
    <w:rsid w:val="00A65A8D"/>
    <w:rsid w:val="00A70867"/>
    <w:rsid w:val="00A70AC1"/>
    <w:rsid w:val="00A758E5"/>
    <w:rsid w:val="00A86B13"/>
    <w:rsid w:val="00A8756B"/>
    <w:rsid w:val="00A905BD"/>
    <w:rsid w:val="00A94DF8"/>
    <w:rsid w:val="00A94F1B"/>
    <w:rsid w:val="00A95884"/>
    <w:rsid w:val="00A965F5"/>
    <w:rsid w:val="00AA18C4"/>
    <w:rsid w:val="00AA7DC7"/>
    <w:rsid w:val="00AB0CED"/>
    <w:rsid w:val="00AB538E"/>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E47B1"/>
    <w:rsid w:val="00AE69CA"/>
    <w:rsid w:val="00AE709B"/>
    <w:rsid w:val="00AE7683"/>
    <w:rsid w:val="00AF04A5"/>
    <w:rsid w:val="00AF3F0A"/>
    <w:rsid w:val="00AF6AD5"/>
    <w:rsid w:val="00AF7F46"/>
    <w:rsid w:val="00B04B61"/>
    <w:rsid w:val="00B05AD1"/>
    <w:rsid w:val="00B0723E"/>
    <w:rsid w:val="00B14BA7"/>
    <w:rsid w:val="00B1699A"/>
    <w:rsid w:val="00B23B5B"/>
    <w:rsid w:val="00B23DFF"/>
    <w:rsid w:val="00B2654E"/>
    <w:rsid w:val="00B350EE"/>
    <w:rsid w:val="00B3591D"/>
    <w:rsid w:val="00B36755"/>
    <w:rsid w:val="00B42CEE"/>
    <w:rsid w:val="00B43B3B"/>
    <w:rsid w:val="00B45F2D"/>
    <w:rsid w:val="00B46FC2"/>
    <w:rsid w:val="00B471F9"/>
    <w:rsid w:val="00B55256"/>
    <w:rsid w:val="00B620D6"/>
    <w:rsid w:val="00B628E4"/>
    <w:rsid w:val="00B72C73"/>
    <w:rsid w:val="00B7421F"/>
    <w:rsid w:val="00B76D8A"/>
    <w:rsid w:val="00B77BDD"/>
    <w:rsid w:val="00B77E3E"/>
    <w:rsid w:val="00B8083C"/>
    <w:rsid w:val="00B80967"/>
    <w:rsid w:val="00B8430A"/>
    <w:rsid w:val="00B86241"/>
    <w:rsid w:val="00B86F02"/>
    <w:rsid w:val="00B875D9"/>
    <w:rsid w:val="00B91BE9"/>
    <w:rsid w:val="00B939F3"/>
    <w:rsid w:val="00B967F1"/>
    <w:rsid w:val="00BA027A"/>
    <w:rsid w:val="00BA3AC9"/>
    <w:rsid w:val="00BA6925"/>
    <w:rsid w:val="00BA7210"/>
    <w:rsid w:val="00BA7BA0"/>
    <w:rsid w:val="00BB258B"/>
    <w:rsid w:val="00BB4E70"/>
    <w:rsid w:val="00BB53F9"/>
    <w:rsid w:val="00BB6067"/>
    <w:rsid w:val="00BC391E"/>
    <w:rsid w:val="00BC3C07"/>
    <w:rsid w:val="00BC5A7C"/>
    <w:rsid w:val="00BC784A"/>
    <w:rsid w:val="00BD5A27"/>
    <w:rsid w:val="00BD5B4D"/>
    <w:rsid w:val="00BE021D"/>
    <w:rsid w:val="00BE18D1"/>
    <w:rsid w:val="00BE223D"/>
    <w:rsid w:val="00BE3472"/>
    <w:rsid w:val="00BE72ED"/>
    <w:rsid w:val="00BF295D"/>
    <w:rsid w:val="00C04011"/>
    <w:rsid w:val="00C052FA"/>
    <w:rsid w:val="00C076B9"/>
    <w:rsid w:val="00C1190F"/>
    <w:rsid w:val="00C13101"/>
    <w:rsid w:val="00C14661"/>
    <w:rsid w:val="00C15CFF"/>
    <w:rsid w:val="00C15E33"/>
    <w:rsid w:val="00C217C0"/>
    <w:rsid w:val="00C262A3"/>
    <w:rsid w:val="00C263EF"/>
    <w:rsid w:val="00C3171B"/>
    <w:rsid w:val="00C36190"/>
    <w:rsid w:val="00C37B6F"/>
    <w:rsid w:val="00C41CCB"/>
    <w:rsid w:val="00C42976"/>
    <w:rsid w:val="00C456CD"/>
    <w:rsid w:val="00C51512"/>
    <w:rsid w:val="00C57F74"/>
    <w:rsid w:val="00C60E04"/>
    <w:rsid w:val="00C61AE0"/>
    <w:rsid w:val="00C642AC"/>
    <w:rsid w:val="00C64B7E"/>
    <w:rsid w:val="00C74532"/>
    <w:rsid w:val="00C748E9"/>
    <w:rsid w:val="00C81275"/>
    <w:rsid w:val="00C821CE"/>
    <w:rsid w:val="00C8370D"/>
    <w:rsid w:val="00C84785"/>
    <w:rsid w:val="00C879F2"/>
    <w:rsid w:val="00C87B7D"/>
    <w:rsid w:val="00C91403"/>
    <w:rsid w:val="00C93C1D"/>
    <w:rsid w:val="00C948DC"/>
    <w:rsid w:val="00C94A66"/>
    <w:rsid w:val="00C95BAD"/>
    <w:rsid w:val="00CA0F36"/>
    <w:rsid w:val="00CA3712"/>
    <w:rsid w:val="00CA4A1B"/>
    <w:rsid w:val="00CA5D85"/>
    <w:rsid w:val="00CB164B"/>
    <w:rsid w:val="00CB5FAE"/>
    <w:rsid w:val="00CB60D8"/>
    <w:rsid w:val="00CB6541"/>
    <w:rsid w:val="00CB6605"/>
    <w:rsid w:val="00CB752F"/>
    <w:rsid w:val="00CC1D9C"/>
    <w:rsid w:val="00CC461F"/>
    <w:rsid w:val="00CD1CE8"/>
    <w:rsid w:val="00CD504A"/>
    <w:rsid w:val="00CD5323"/>
    <w:rsid w:val="00CE0E35"/>
    <w:rsid w:val="00CE34D7"/>
    <w:rsid w:val="00CF03C9"/>
    <w:rsid w:val="00CF1D6A"/>
    <w:rsid w:val="00CF5847"/>
    <w:rsid w:val="00D0004B"/>
    <w:rsid w:val="00D00631"/>
    <w:rsid w:val="00D04468"/>
    <w:rsid w:val="00D0515A"/>
    <w:rsid w:val="00D0610C"/>
    <w:rsid w:val="00D069EC"/>
    <w:rsid w:val="00D1287D"/>
    <w:rsid w:val="00D12F97"/>
    <w:rsid w:val="00D155C0"/>
    <w:rsid w:val="00D176E8"/>
    <w:rsid w:val="00D17810"/>
    <w:rsid w:val="00D23706"/>
    <w:rsid w:val="00D2372C"/>
    <w:rsid w:val="00D25F36"/>
    <w:rsid w:val="00D272E2"/>
    <w:rsid w:val="00D3011A"/>
    <w:rsid w:val="00D32C0F"/>
    <w:rsid w:val="00D33D5D"/>
    <w:rsid w:val="00D34A2E"/>
    <w:rsid w:val="00D35F03"/>
    <w:rsid w:val="00D36D9F"/>
    <w:rsid w:val="00D40FE0"/>
    <w:rsid w:val="00D41BD7"/>
    <w:rsid w:val="00D42619"/>
    <w:rsid w:val="00D440F2"/>
    <w:rsid w:val="00D45447"/>
    <w:rsid w:val="00D45A9E"/>
    <w:rsid w:val="00D47BB5"/>
    <w:rsid w:val="00D50968"/>
    <w:rsid w:val="00D54717"/>
    <w:rsid w:val="00D54DB1"/>
    <w:rsid w:val="00D55281"/>
    <w:rsid w:val="00D56474"/>
    <w:rsid w:val="00D6324B"/>
    <w:rsid w:val="00D66D62"/>
    <w:rsid w:val="00D7494E"/>
    <w:rsid w:val="00D75585"/>
    <w:rsid w:val="00D80BFF"/>
    <w:rsid w:val="00D8229F"/>
    <w:rsid w:val="00D84BD5"/>
    <w:rsid w:val="00D87B32"/>
    <w:rsid w:val="00D87FF5"/>
    <w:rsid w:val="00D91ACF"/>
    <w:rsid w:val="00D95D52"/>
    <w:rsid w:val="00D97807"/>
    <w:rsid w:val="00DA10FD"/>
    <w:rsid w:val="00DA1267"/>
    <w:rsid w:val="00DA5D29"/>
    <w:rsid w:val="00DB08B5"/>
    <w:rsid w:val="00DC1111"/>
    <w:rsid w:val="00DC575C"/>
    <w:rsid w:val="00DC73BF"/>
    <w:rsid w:val="00DD6BA2"/>
    <w:rsid w:val="00DE0352"/>
    <w:rsid w:val="00DE1A0E"/>
    <w:rsid w:val="00DE3171"/>
    <w:rsid w:val="00DE3C08"/>
    <w:rsid w:val="00DE3D04"/>
    <w:rsid w:val="00DE4C07"/>
    <w:rsid w:val="00DE5A44"/>
    <w:rsid w:val="00DE6872"/>
    <w:rsid w:val="00DF0295"/>
    <w:rsid w:val="00DF1ACF"/>
    <w:rsid w:val="00DF36FC"/>
    <w:rsid w:val="00DF4004"/>
    <w:rsid w:val="00DF6E32"/>
    <w:rsid w:val="00E0022E"/>
    <w:rsid w:val="00E024D5"/>
    <w:rsid w:val="00E05C28"/>
    <w:rsid w:val="00E06DDB"/>
    <w:rsid w:val="00E0781F"/>
    <w:rsid w:val="00E125E8"/>
    <w:rsid w:val="00E15B0D"/>
    <w:rsid w:val="00E172AA"/>
    <w:rsid w:val="00E177BA"/>
    <w:rsid w:val="00E22AB2"/>
    <w:rsid w:val="00E2483B"/>
    <w:rsid w:val="00E24B90"/>
    <w:rsid w:val="00E3026F"/>
    <w:rsid w:val="00E32188"/>
    <w:rsid w:val="00E32F90"/>
    <w:rsid w:val="00E33BE1"/>
    <w:rsid w:val="00E36417"/>
    <w:rsid w:val="00E5208B"/>
    <w:rsid w:val="00E55CB2"/>
    <w:rsid w:val="00E575CC"/>
    <w:rsid w:val="00E57B46"/>
    <w:rsid w:val="00E616CD"/>
    <w:rsid w:val="00E62D7C"/>
    <w:rsid w:val="00E71C11"/>
    <w:rsid w:val="00E7359B"/>
    <w:rsid w:val="00E74202"/>
    <w:rsid w:val="00E80933"/>
    <w:rsid w:val="00E82A6F"/>
    <w:rsid w:val="00E8346F"/>
    <w:rsid w:val="00E84903"/>
    <w:rsid w:val="00E8569D"/>
    <w:rsid w:val="00E96C2B"/>
    <w:rsid w:val="00EA449A"/>
    <w:rsid w:val="00EB134C"/>
    <w:rsid w:val="00EB15FB"/>
    <w:rsid w:val="00EB4843"/>
    <w:rsid w:val="00EB7590"/>
    <w:rsid w:val="00EC0DFE"/>
    <w:rsid w:val="00EC1EC7"/>
    <w:rsid w:val="00EC2733"/>
    <w:rsid w:val="00EC5BBE"/>
    <w:rsid w:val="00ED03DA"/>
    <w:rsid w:val="00ED0892"/>
    <w:rsid w:val="00ED1EE8"/>
    <w:rsid w:val="00ED6887"/>
    <w:rsid w:val="00ED69DA"/>
    <w:rsid w:val="00EE3955"/>
    <w:rsid w:val="00EE4C79"/>
    <w:rsid w:val="00EF6561"/>
    <w:rsid w:val="00EF6EED"/>
    <w:rsid w:val="00EF7B1E"/>
    <w:rsid w:val="00F00CBB"/>
    <w:rsid w:val="00F02735"/>
    <w:rsid w:val="00F04806"/>
    <w:rsid w:val="00F10622"/>
    <w:rsid w:val="00F110F0"/>
    <w:rsid w:val="00F23C9E"/>
    <w:rsid w:val="00F2436E"/>
    <w:rsid w:val="00F24FEB"/>
    <w:rsid w:val="00F26396"/>
    <w:rsid w:val="00F305F4"/>
    <w:rsid w:val="00F35187"/>
    <w:rsid w:val="00F357E8"/>
    <w:rsid w:val="00F36A89"/>
    <w:rsid w:val="00F37B7D"/>
    <w:rsid w:val="00F41528"/>
    <w:rsid w:val="00F41E7A"/>
    <w:rsid w:val="00F44584"/>
    <w:rsid w:val="00F44F13"/>
    <w:rsid w:val="00F53CAC"/>
    <w:rsid w:val="00F53D72"/>
    <w:rsid w:val="00F53EA9"/>
    <w:rsid w:val="00F554F1"/>
    <w:rsid w:val="00F55EDE"/>
    <w:rsid w:val="00F56D26"/>
    <w:rsid w:val="00F63445"/>
    <w:rsid w:val="00F65608"/>
    <w:rsid w:val="00F72354"/>
    <w:rsid w:val="00F8571D"/>
    <w:rsid w:val="00F86BAD"/>
    <w:rsid w:val="00F86D45"/>
    <w:rsid w:val="00F9395E"/>
    <w:rsid w:val="00F94384"/>
    <w:rsid w:val="00F96AFF"/>
    <w:rsid w:val="00F9713A"/>
    <w:rsid w:val="00F97DC2"/>
    <w:rsid w:val="00FA2120"/>
    <w:rsid w:val="00FA34B8"/>
    <w:rsid w:val="00FA6DC0"/>
    <w:rsid w:val="00FA785A"/>
    <w:rsid w:val="00FA787C"/>
    <w:rsid w:val="00FB303B"/>
    <w:rsid w:val="00FB797D"/>
    <w:rsid w:val="00FC1A4E"/>
    <w:rsid w:val="00FC52DF"/>
    <w:rsid w:val="00FD06A1"/>
    <w:rsid w:val="00FD5895"/>
    <w:rsid w:val="00FE031E"/>
    <w:rsid w:val="00FE138C"/>
    <w:rsid w:val="00FE2643"/>
    <w:rsid w:val="00FE395C"/>
    <w:rsid w:val="00FE4901"/>
    <w:rsid w:val="00FE75DE"/>
    <w:rsid w:val="00FF0193"/>
    <w:rsid w:val="00FF3252"/>
    <w:rsid w:val="53B4405B"/>
    <w:rsid w:val="6730A0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5ECF4A-6E32-4662-BAC9-584906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61"/>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basedOn w:val="Normal"/>
    <w:uiPriority w:val="72"/>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table" w:styleId="Grilledutableau">
    <w:name w:val="Table Grid"/>
    <w:basedOn w:val="TableauNormal"/>
    <w:rsid w:val="005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882B45"/>
    <w:rPr>
      <w:color w:val="605E5C"/>
      <w:shd w:val="clear" w:color="auto" w:fill="E1DFDD"/>
    </w:rPr>
  </w:style>
  <w:style w:type="paragraph" w:styleId="En-tte">
    <w:name w:val="header"/>
    <w:basedOn w:val="Normal"/>
    <w:link w:val="En-tteCar"/>
    <w:semiHidden/>
    <w:unhideWhenUsed/>
    <w:rsid w:val="00417152"/>
    <w:pPr>
      <w:tabs>
        <w:tab w:val="center" w:pos="4536"/>
        <w:tab w:val="right" w:pos="9072"/>
      </w:tabs>
    </w:pPr>
  </w:style>
  <w:style w:type="character" w:customStyle="1" w:styleId="En-tteCar">
    <w:name w:val="En-tête Car"/>
    <w:basedOn w:val="Policepardfaut"/>
    <w:link w:val="En-tte"/>
    <w:semiHidden/>
    <w:rsid w:val="00417152"/>
    <w:rPr>
      <w:sz w:val="24"/>
      <w:szCs w:val="24"/>
    </w:rPr>
  </w:style>
  <w:style w:type="character" w:styleId="Lienhypertextesuivivisit">
    <w:name w:val="FollowedHyperlink"/>
    <w:basedOn w:val="Policepardfaut"/>
    <w:semiHidden/>
    <w:unhideWhenUsed/>
    <w:rsid w:val="00994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07775803">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864173710">
      <w:bodyDiv w:val="1"/>
      <w:marLeft w:val="0"/>
      <w:marRight w:val="0"/>
      <w:marTop w:val="0"/>
      <w:marBottom w:val="0"/>
      <w:divBdr>
        <w:top w:val="none" w:sz="0" w:space="0" w:color="auto"/>
        <w:left w:val="none" w:sz="0" w:space="0" w:color="auto"/>
        <w:bottom w:val="none" w:sz="0" w:space="0" w:color="auto"/>
        <w:right w:val="none" w:sz="0" w:space="0" w:color="auto"/>
      </w:divBdr>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geoderma.2022.1160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D873D8877C1940ABA8D87A5924897E" ma:contentTypeVersion="0" ma:contentTypeDescription="Crée un document." ma:contentTypeScope="" ma:versionID="f95c98425d43da9e2fdb1f3129759b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1B83-9FA8-473B-904A-07DBA1A85F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2AAF16-BEE5-4D12-A9C1-E94F6ACA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4.xml><?xml version="1.0" encoding="utf-8"?>
<ds:datastoreItem xmlns:ds="http://schemas.openxmlformats.org/officeDocument/2006/customXml" ds:itemID="{EB620E49-2F1E-4641-82DC-60F8AA08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Monique Delabuis</cp:lastModifiedBy>
  <cp:revision>5</cp:revision>
  <cp:lastPrinted>2021-07-13T15:23:00Z</cp:lastPrinted>
  <dcterms:created xsi:type="dcterms:W3CDTF">2022-12-19T13:14:00Z</dcterms:created>
  <dcterms:modified xsi:type="dcterms:W3CDTF">2022-12-20T15:30:00Z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0x010100A1D873D8877C1940ABA8D87A5924897E</vt:lpwstr>
  </property>
</Properties>
</file>